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GKicker"/>
      </w:pPr>
      <w:r>
        <w:t xml:space="preserve">Ingevuld voorbeeld, fictief bedrijf</w:t>
      </w:r>
    </w:p>
    <w:p>
      <w:pPr>
        <w:pStyle w:val="HGTitel"/>
      </w:pPr>
      <w:r>
        <w:t xml:space="preserve">AI-beleid van één pagina</w:t>
      </w:r>
    </w:p>
    <w:p>
      <w:pPr>
        <w:pStyle w:val="HGOndertitel"/>
      </w:pPr>
      <w:r>
        <w:t xml:space="preserve">Voorbeeld Marketing B.V. bestaat niet. Zo vul je het sjabloon in; geen advies.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000"/>
        <w:gridCol w:w="6072"/>
      </w:tblGrid>
      <w:tr>
        <w:tc>
          <w:tcPr>
            <w:tcW w:type="dxa" w:w="3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22"/>
                <w:szCs w:val="22"/>
              </w:rPr>
              <w:t xml:space="preserve">Organisatie en eigenaar</w:t>
            </w:r>
          </w:p>
        </w:tc>
        <w:tc>
          <w:tcPr>
            <w:tcW w:type="dxa" w:w="6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22"/>
                <w:szCs w:val="22"/>
              </w:rPr>
              <w:t xml:space="preserve">Voorbeeld Marketing B.V. (fictief); Sanne Voorbeeld, office manager, sanne@voorbeeld.example</w:t>
            </w:r>
          </w:p>
        </w:tc>
      </w:tr>
      <w:tr>
        <w:tc>
          <w:tcPr>
            <w:tcW w:type="dxa" w:w="3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22"/>
                <w:szCs w:val="22"/>
              </w:rPr>
              <w:t xml:space="preserve">Vastgesteld, versie, herziening</w:t>
            </w:r>
          </w:p>
        </w:tc>
        <w:tc>
          <w:tcPr>
            <w:tcW w:type="dxa" w:w="6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22"/>
                <w:szCs w:val="22"/>
              </w:rPr>
              <w:t xml:space="preserve">directie, 1 oktober 2026, versie 1.0, uiterlijk 1 oktober 2027</w:t>
            </w:r>
          </w:p>
        </w:tc>
      </w:tr>
    </w:tbl>
    <w:p>
      <w:pPr>
        <w:spacing w:after="0" w:before="0" w:line="160"/>
      </w:pPr>
      <w:r>
        <w:rPr>
          <w:sz w:val="8"/>
          <w:szCs w:val="8"/>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00"/>
        <w:gridCol w:w="7272"/>
      </w:tblGrid>
      <w:tr>
        <w:trPr>
          <w:tblHeader/>
        </w:trPr>
        <w:tc>
          <w:tcPr>
            <w:tcW w:type="dxa" w:w="18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Afspraak</w:t>
            </w:r>
          </w:p>
        </w:tc>
        <w:tc>
          <w:tcPr>
            <w:tcW w:type="dxa" w:w="72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wij afspreken</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Tools en account</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goedgekeurde AI-tools (register in de bijlage) met het zakelijke account, ook voor AI-functies in andere software, notulen-bots, browserextensies en apps op je privételefoon. Geen privéaccount voor werk. Nieuwe tool of koppeling? Eerst toestemming van Sanne Voorbeeld. Een agent (AI die zelf handelt, mailt of bestanden opent) krijgt nooit meer rechten dan jij; een mens controleert het resultaat.</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2. Gegevens</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Volg de drie kleuren hieronder. Gegevens van klanten: volg het contract of de geheimhoudingsafspraak, en bij twijfel is het rood. Offertes, contracten, interne cijfers en broncode zijn minstens oranje. Twijfel je? Dan gaat het er niet in, en vraag je het aan Sanne Voorbeeld.</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3. Controle en eerlijkheid</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Jij blijft verantwoordelijk voor wat je met AI maakt: controleer feiten, cijfers, namen en bronnen, en noteer bij klantwerk dat AI is gebruikt en wie het controleerde. Besluiten die mensen raken en AI om sollicitanten of collega's te beoordelen: alleen na toestemming van Sanne Voorbeeld. AI-gebruik vermelden we tegenover klanten of publiek bij AI-beelden en chatbots. Geen misleidende teksten, beelden of stemmen, geen beschermd materiaal van anderen; controleer de licentie van gegenereerde code.</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4. Melden</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Iets in een tool gezet dat er niet in mocht? Meld het direct bij Sanne Voorbeeld, sanne@voorbeeld.example. Wie tijdig meldt, krijgt geen sanctie. Sanne Voorbeeld beoordeelt of het een datalek is en meldt dat bij de AP uiterlijk 72 uur nadat wij ervan weten, tenzij een risico niet waarschijnlijk is. Gaat het om gegevens van een klant? Dan melden we het ook direct aan die klant.</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5. Eigenaar, herziening en uitleg</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Sanne Voorbeeld beheert dit beleid en de bijlage en herziet het minstens jaarlijks en bij een nieuwe tool, wetswijziging of incident. Je krijgt uitleg bij indiensttreding en na elke herziening en bevestigt in de bijlage dat je het hebt gelezen.</w:t>
            </w:r>
          </w:p>
        </w:tc>
      </w:tr>
    </w:tbl>
    <w:p>
      <w:pPr>
        <w:spacing w:after="0" w:before="0" w:line="160"/>
      </w:pPr>
      <w:r>
        <w:rPr>
          <w:sz w:val="8"/>
          <w:szCs w:val="8"/>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000"/>
        <w:gridCol w:w="5372"/>
        <w:gridCol w:w="2700"/>
      </w:tblGrid>
      <w:tr>
        <w:trPr>
          <w:tblHeader/>
        </w:trPr>
        <w:tc>
          <w:tcPr>
            <w:tcW w:type="dxa" w:w="1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Gegevens</w:t>
            </w:r>
          </w:p>
        </w:tc>
        <w:tc>
          <w:tcPr>
            <w:tcW w:type="dxa" w:w="53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Voorbeelden</w:t>
            </w:r>
          </w:p>
        </w:tc>
        <w:tc>
          <w:tcPr>
            <w:tcW w:type="dxa" w:w="2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In een AI-tool?</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Rood</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Gezondheid, ras of etnische afkomst, politieke of religieuze opvattingen, vakbondslidmaatschap, genetische en biometrische gegevens, seksuele gerichtheid. Ook BSN, wachtwoorden, API-sleutels en tokens, de klantlijst van opdrachtgever Voorbeeld Zorg.</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Nooit</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Oranje</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Namen, e-mailadressen, klantnummers. Financiële en locatiegegevens. Offertes, contracten, interne cijfers, broncode.</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in een goedgekeurde tool met verwerkersovereenkomst</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Groen</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Openbare informatie, eigen teksten zonder personen, fictieve of geanonimiseerde voorbeelden.</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in goedgekeurde tools</w:t>
            </w:r>
          </w:p>
        </w:tc>
      </w:tr>
    </w:tbl>
    <w:p>
      <w:pPr>
        <w:pStyle w:val="Heading1"/>
        <w:pageBreakBefore/>
      </w:pPr>
      <w:r>
        <w:t xml:space="preserve">Bijlage voor de eigenaar van het beleid</w:t>
      </w:r>
    </w:p>
    <w:p>
      <w:pPr>
        <w:pStyle w:val="HGBijschrift"/>
      </w:pPr>
      <w:r>
        <w:t xml:space="preserve">AP: Autoriteit Persoonsgegevens, de privacytoezichthouder. Verwerkersovereenkomst: schriftelijke afspraak met een partij die in jouw opdracht persoonsgegevens verwerkt (art. 28 AVG). Vrij te gebruiken, zonder garantie en zonder juridisch advies: laat de tekst juridisch toetsen en kijk of de ondernemingsraad moet instemmen. Hello Growth B.V., oktober 2026.</w:t>
      </w:r>
    </w:p>
    <w:p>
      <w:pPr>
        <w:pStyle w:val="Heading2"/>
      </w:pPr>
      <w:r>
        <w:t xml:space="preserve">A. Register van goedgekeurde tools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1150"/>
        <w:gridCol w:w="1300"/>
        <w:gridCol w:w="1450"/>
        <w:gridCol w:w="1300"/>
        <w:gridCol w:w="1272"/>
      </w:tblGrid>
      <w:tr>
        <w:trPr>
          <w:tblHeader/>
        </w:trPr>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Tool</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Account</w:t>
            </w:r>
          </w:p>
        </w:tc>
        <w:tc>
          <w:tcPr>
            <w:tcW w:type="dxa" w:w="115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Kleur gegevens</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Verwerkers-overeenkomst</w:t>
            </w:r>
          </w:p>
        </w:tc>
        <w:tc>
          <w:tcPr>
            <w:tcW w:type="dxa" w:w="145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Training uit</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Beheerder</w:t>
            </w:r>
          </w:p>
        </w:tc>
        <w:tc>
          <w:tcPr>
            <w:tcW w:type="dxa" w:w="12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Beoordeeld op</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Microsoft Copilot</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Zakelijk (Microsoft 365)</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Oranje</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via contract</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Geen training volgens Microsoft</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IT-beheer</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okt 2026</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Claude Team</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Zakelijk teamaccount</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Oranje</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getekend</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Standaard geen training, feedback uit</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Sanne Voorbeeld</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okt 2026</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Gratis AI-apps</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Privé</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groen</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Nee</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Niet beoordeeld</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n.v.t.</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Niet toegestaan voor werk</w:t>
            </w:r>
          </w:p>
        </w:tc>
      </w:tr>
    </w:tbl>
    <w:p>
      <w:pPr>
        <w:pStyle w:val="Heading2"/>
      </w:pPr>
      <w:r>
        <w:t xml:space="preserve">B. Vragen voor een nieuwe tool of koppeling</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4600"/>
        <w:gridCol w:w="4472"/>
      </w:tblGrid>
      <w:tr>
        <w:trPr>
          <w:tblHeader/>
        </w:trPr>
        <w:tc>
          <w:tcPr>
            <w:tcW w:type="dxa" w:w="46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Vraag</w:t>
            </w:r>
          </w:p>
        </w:tc>
        <w:tc>
          <w:tcPr>
            <w:tcW w:type="dxa" w:w="44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Welke gegevens gaan erin, en van welke kleur?</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groen en oranje, geen klantgegevens.</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2. Is er een verwerkersovereenkomst, en wie tekent?</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getekend door de directie.</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3. Staat modeltraining op onze gegevens uit?</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standaard uit in het zakelijke plan.</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4. Waar worden gegevens verwerkt, en zijn er subverwerkers?</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In de EU volgens de aanbieder; subverwerkers nagekeken.</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5. Wie beheert de accounts en verwijdert ze bij vertrek?</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IT-beheer, bij uitdiensttreding.</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6. Handelt de tool zelf (agent) of heeft hij koppelingen, en met welke rechten?</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Geen agents; koppeling met agenda alleen leesrechten.</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7. Wordt het gebruikt voor besluiten over mensen of voor HR?</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Nee. Zo ja: eerst privacyverantwoordelijke en de vraag of een DPIA nodig is.</w:t>
            </w:r>
          </w:p>
        </w:tc>
      </w:tr>
    </w:tbl>
    <w:p>
      <w:pPr>
        <w:pStyle w:val="HGBijschrift"/>
      </w:pPr>
      <w:r>
        <w:t xml:space="preserve">DPIA: data protection impact assessment, een beoordeling vooraf van de privacyrisicos die een nieuw gebruik meebrengt. Verplicht bij een hoog risico, ook bij pilots.</w:t>
      </w:r>
    </w:p>
    <w:p>
      <w:pPr>
        <w:pStyle w:val="Heading2"/>
      </w:pPr>
      <w:r>
        <w:t xml:space="preserve">C. Instellingen die de eigenaar beheert</w:t>
      </w:r>
    </w:p>
    <w:p>
      <w:pPr>
        <w:pStyle w:val="ListParagraph"/>
        <w:numPr>
          <w:ilvl w:val="0"/>
          <w:numId w:val="2"/>
        </w:numPr>
      </w:pPr>
      <w:r>
        <w:t xml:space="preserve">Modeltraining uit, of controleer dat het bij het zakelijke plan standaard uit staat.</w:t>
      </w:r>
    </w:p>
    <w:p>
      <w:pPr>
        <w:pStyle w:val="ListParagraph"/>
        <w:numPr>
          <w:ilvl w:val="0"/>
          <w:numId w:val="2"/>
        </w:numPr>
      </w:pPr>
      <w:r>
        <w:t xml:space="preserve">Feedbackfunctie (duimpjes) uit waar de tool dat toestaat: bij sommige aanbieders wordt het hele gesprek dan bewaard en mogelijk voor training gebruikt.</w:t>
      </w:r>
    </w:p>
    <w:p>
      <w:pPr>
        <w:pStyle w:val="ListParagraph"/>
        <w:numPr>
          <w:ilvl w:val="0"/>
          <w:numId w:val="2"/>
        </w:numPr>
      </w:pPr>
      <w:r>
        <w:t xml:space="preserve">Delen van gesprekken en openbare links beperken of uitzetten.</w:t>
      </w:r>
    </w:p>
    <w:p>
      <w:pPr>
        <w:pStyle w:val="ListParagraph"/>
        <w:numPr>
          <w:ilvl w:val="0"/>
          <w:numId w:val="2"/>
        </w:numPr>
      </w:pPr>
      <w:r>
        <w:t xml:space="preserve">Geheugenfunctie en bewaartermijn van gesprekken bewust instellen.</w:t>
      </w:r>
    </w:p>
    <w:p>
      <w:pPr>
        <w:pStyle w:val="ListParagraph"/>
        <w:numPr>
          <w:ilvl w:val="0"/>
          <w:numId w:val="2"/>
        </w:numPr>
      </w:pPr>
      <w:r>
        <w:t xml:space="preserve">Inloggen via het bedrijfsaccount met meervoudige verificatie, en accounts verwijderen bij uitdiensttreding.</w:t>
      </w:r>
    </w:p>
    <w:p>
      <w:pPr>
        <w:pStyle w:val="ListParagraph"/>
        <w:numPr>
          <w:ilvl w:val="0"/>
          <w:numId w:val="2"/>
        </w:numPr>
      </w:pPr>
      <w:r>
        <w:t xml:space="preserve">Koppelingen en agents alleen goedgekeurd en met zo weinig rechten als nodig.</w:t>
      </w:r>
    </w:p>
    <w:p>
      <w:pPr>
        <w:pStyle w:val="Heading2"/>
      </w:pPr>
      <w:r>
        <w:t xml:space="preserve">D. Incidentenlijst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000"/>
        <w:gridCol w:w="2700"/>
        <w:gridCol w:w="1100"/>
        <w:gridCol w:w="900"/>
        <w:gridCol w:w="2000"/>
        <w:gridCol w:w="1372"/>
      </w:tblGrid>
      <w:tr>
        <w:trPr>
          <w:tblHeader/>
        </w:trPr>
        <w:tc>
          <w:tcPr>
            <w:tcW w:type="dxa" w:w="1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w:t>
            </w:r>
          </w:p>
        </w:tc>
        <w:tc>
          <w:tcPr>
            <w:tcW w:type="dxa" w:w="2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is er gebeurd</w:t>
            </w:r>
          </w:p>
        </w:tc>
        <w:tc>
          <w:tcPr>
            <w:tcW w:type="dxa" w:w="11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Kleur gegevens</w:t>
            </w:r>
          </w:p>
        </w:tc>
        <w:tc>
          <w:tcPr>
            <w:tcW w:type="dxa" w:w="9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Datalek?</w:t>
            </w:r>
          </w:p>
        </w:tc>
        <w:tc>
          <w:tcPr>
            <w:tcW w:type="dxa" w:w="2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Gemeld aan AP of klant</w:t>
            </w:r>
          </w:p>
        </w:tc>
        <w:tc>
          <w:tcPr>
            <w:tcW w:type="dxa" w:w="13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Afgehandeld door</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5 okt 2026</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Klantmail met namen geplakt in een gratis AI-app</w:t>
            </w:r>
          </w:p>
        </w:tc>
        <w:tc>
          <w:tcPr>
            <w:tcW w:type="dxa" w:w="11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Oranje</w:t>
            </w:r>
          </w:p>
        </w:tc>
        <w:tc>
          <w:tcPr>
            <w:tcW w:type="dxa" w:w="9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w:t>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AP binnen 72 uur, klant direct</w:t>
            </w:r>
          </w:p>
        </w:tc>
        <w:tc>
          <w:tcPr>
            <w:tcW w:type="dxa" w:w="1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Sanne Voorbeeld</w:t>
            </w:r>
          </w:p>
        </w:tc>
      </w:tr>
    </w:tbl>
    <w:p>
      <w:pPr>
        <w:pStyle w:val="Heading2"/>
      </w:pPr>
      <w:r>
        <w:t xml:space="preserve">E. Uitleg, geletterdheid en kennisgeving</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400"/>
        <w:gridCol w:w="1700"/>
        <w:gridCol w:w="2000"/>
        <w:gridCol w:w="2972"/>
      </w:tblGrid>
      <w:tr>
        <w:trPr>
          <w:tblHeader/>
        </w:trPr>
        <w:tc>
          <w:tcPr>
            <w:tcW w:type="dxa" w:w="24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Medewerker of groep</w:t>
            </w:r>
          </w:p>
        </w:tc>
        <w:tc>
          <w:tcPr>
            <w:tcW w:type="dxa" w:w="1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 uitleg</w:t>
            </w:r>
          </w:p>
        </w:tc>
        <w:tc>
          <w:tcPr>
            <w:tcW w:type="dxa" w:w="2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Door wie</w:t>
            </w:r>
          </w:p>
        </w:tc>
        <w:tc>
          <w:tcPr>
            <w:tcW w:type="dxa" w:w="29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Gelezen en begrepen (naam of akkoord)</w:t>
            </w:r>
          </w:p>
        </w:tc>
      </w:tr>
      <w:tr>
        <w:tc>
          <w:tcPr>
            <w:tcW w:type="dxa" w:w="24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 medewerkers</w:t>
            </w:r>
          </w:p>
        </w:tc>
        <w:tc>
          <w:tcPr>
            <w:tcW w:type="dxa" w:w="1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2 okt 2026</w:t>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Sanne Voorbeeld</w:t>
            </w:r>
          </w:p>
        </w:tc>
        <w:tc>
          <w:tcPr>
            <w:tcW w:type="dxa" w:w="29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Piet Voorbeeld, akkoord per e-mail</w:t>
            </w:r>
          </w:p>
        </w:tc>
      </w:tr>
    </w:tbl>
    <w:p>
      <w:pPr>
        <w:pStyle w:val="Heading2"/>
      </w:pPr>
      <w:r>
        <w:t xml:space="preserve">F. Wijzigingen in dit beleid</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00"/>
        <w:gridCol w:w="5200"/>
        <w:gridCol w:w="2072"/>
      </w:tblGrid>
      <w:tr>
        <w:trPr>
          <w:tblHeader/>
        </w:trPr>
        <w:tc>
          <w:tcPr>
            <w:tcW w:type="dxa" w:w="18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w:t>
            </w:r>
          </w:p>
        </w:tc>
        <w:tc>
          <w:tcPr>
            <w:tcW w:type="dxa" w:w="52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is er gewijzigd</w:t>
            </w:r>
          </w:p>
        </w:tc>
        <w:tc>
          <w:tcPr>
            <w:tcW w:type="dxa" w:w="20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Door wie</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okt 2026</w:t>
            </w:r>
          </w:p>
        </w:tc>
        <w:tc>
          <w:tcPr>
            <w:tcW w:type="dxa" w:w="52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Eerste versie vastgesteld</w:t>
            </w:r>
          </w:p>
        </w:tc>
        <w:tc>
          <w:tcPr>
            <w:tcW w:type="dxa" w:w="2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directie</w:t>
            </w:r>
          </w:p>
        </w:tc>
      </w:tr>
    </w:tbl>
    <w:sectPr>
      <w:footerReference w:type="default" r:id="rId7"/>
      <w:pgSz w:w="11906" w:h="16838" w:orient="portrait"/>
      <w:pgMar w:top="1417" w:right="1417" w:bottom="1417" w:left="1417"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ra SemiBold">
    <w:family w:val="auto"/>
    <w:pitch w:val="variable"/>
    <w:sig w:usb0="E0002AFF" w:usb1="C000247B" w:usb2="00000009" w:usb3="00000000" w:csb0="000001FF" w:csb1="00000000"/>
    <w:embedRegular r:id="rId1" w:fontKey="{bf6466c5-9888-3c71-c205-013f68aee898}"/>
  </w:font>
  <w:font w:name="Instrument Sans">
    <w:family w:val="auto"/>
    <w:pitch w:val="variable"/>
    <w:sig w:usb0="E0002AFF" w:usb1="C000247B" w:usb2="00000009" w:usb3="00000000" w:csb0="000001FF" w:csb1="00000000"/>
    <w:embedRegular r:id="rId2" w:fontKey="{43feb36a-7119-6764-b133-e1989df2ee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8896AE"/>
        <w:sz w:val="16"/>
        <w:szCs w:val="16"/>
      </w:rPr>
      <w:t xml:space="preserve">Hello Growth B.V.   ·   Anton Geesinkstraat 1, 1382 NA Weesp   ·   KvK 94255059   ·   IBAN NL57 INGB 0107 0427 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rFonts w:ascii="Arial" w:cs="Arial" w:eastAsia="Arial" w:hAnsi="Arial"/>
        <w:color w:val="03989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44567A"/>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line="300"/>
      <w:outlineLvl w:val="0"/>
    </w:pPr>
    <w:rPr>
      <w:rFonts w:ascii="Sora SemiBold" w:cs="Sora SemiBold" w:eastAsia="Sora SemiBold" w:hAnsi="Sora SemiBold"/>
      <w:color w:val="0F2960"/>
      <w:sz w:val="36"/>
      <w:szCs w:val="36"/>
    </w:rPr>
  </w:style>
  <w:style w:type="paragraph" w:styleId="Heading2">
    <w:name w:val="Heading 2"/>
    <w:basedOn w:val="Normal"/>
    <w:next w:val="Normal"/>
    <w:qFormat/>
    <w:pPr>
      <w:keepNext/>
      <w:spacing w:after="120" w:before="320" w:line="300"/>
      <w:outlineLvl w:val="1"/>
    </w:pPr>
    <w:rPr>
      <w:rFonts w:ascii="Sora SemiBold" w:cs="Sora SemiBold" w:eastAsia="Sora SemiBold" w:hAnsi="Sora SemiBold"/>
      <w:color w:val="0F2960"/>
      <w:sz w:val="28"/>
      <w:szCs w:val="28"/>
    </w:rPr>
  </w:style>
  <w:style w:type="paragraph" w:styleId="Heading3">
    <w:name w:val="Heading 3"/>
    <w:basedOn w:val="Normal"/>
    <w:next w:val="Normal"/>
    <w:qFormat/>
    <w:pPr>
      <w:keepNext/>
      <w:spacing w:after="80" w:before="240" w:line="300"/>
      <w:outlineLvl w:val="2"/>
    </w:pPr>
    <w:rPr>
      <w:rFonts w:ascii="Instrument Sans" w:cs="Instrument Sans" w:eastAsia="Instrument Sans" w:hAnsi="Instrument Sans"/>
      <w:b/>
      <w:bCs/>
      <w:color w:val="0F2960"/>
      <w:sz w:val="22"/>
      <w:szCs w:val="22"/>
    </w:rPr>
  </w:style>
  <w:style w:type="paragraph" w:styleId="HGKicker">
    <w:name w:val="HG Kicker"/>
    <w:basedOn w:val="Normal"/>
    <w:next w:val="HGTitel"/>
    <w:pPr>
      <w:spacing w:after="80" w:line="300"/>
    </w:pPr>
    <w:rPr>
      <w:rFonts w:ascii="Sora SemiBold" w:cs="Sora SemiBold" w:eastAsia="Sora SemiBold" w:hAnsi="Sora SemiBold"/>
      <w:caps/>
      <w:color w:val="03989E"/>
      <w:spacing w:val="20"/>
      <w:sz w:val="18"/>
      <w:szCs w:val="18"/>
    </w:rPr>
  </w:style>
  <w:style w:type="paragraph" w:styleId="HGTitel">
    <w:name w:val="HG Titel"/>
    <w:basedOn w:val="Normal"/>
    <w:next w:val="HGOndertitel"/>
    <w:pPr>
      <w:spacing w:after="120" w:line="264"/>
    </w:pPr>
    <w:rPr>
      <w:rFonts w:ascii="Sora SemiBold" w:cs="Sora SemiBold" w:eastAsia="Sora SemiBold" w:hAnsi="Sora SemiBold"/>
      <w:color w:val="0F2960"/>
      <w:sz w:val="44"/>
      <w:szCs w:val="44"/>
    </w:rPr>
  </w:style>
  <w:style w:type="paragraph" w:styleId="HGOndertitel">
    <w:name w:val="HG Ondertitel"/>
    <w:basedOn w:val="Normal"/>
    <w:next w:val="Normal"/>
    <w:pPr>
      <w:spacing w:after="400" w:line="300"/>
    </w:pPr>
    <w:rPr>
      <w:rFonts w:ascii="Instrument Sans" w:cs="Instrument Sans" w:eastAsia="Instrument Sans" w:hAnsi="Instrument Sans"/>
      <w:i/>
      <w:iCs/>
      <w:color w:val="44567A"/>
      <w:sz w:val="24"/>
      <w:szCs w:val="24"/>
    </w:rPr>
  </w:style>
  <w:style w:type="paragraph" w:styleId="HGTussenkop">
    <w:name w:val="HG Tussenkop"/>
    <w:basedOn w:val="Normal"/>
    <w:next w:val="Normal"/>
    <w:pPr>
      <w:keepNext/>
      <w:spacing w:after="80" w:before="400" w:line="300"/>
    </w:pPr>
    <w:rPr>
      <w:rFonts w:ascii="Sora SemiBold" w:cs="Sora SemiBold" w:eastAsia="Sora SemiBold" w:hAnsi="Sora SemiBold"/>
      <w:color w:val="0F2960"/>
      <w:sz w:val="28"/>
      <w:szCs w:val="28"/>
    </w:rPr>
  </w:style>
  <w:style w:type="paragraph" w:styleId="HGBijschrift">
    <w:name w:val="HG Bijschrift"/>
    <w:basedOn w:val="Normal"/>
    <w:next w:val="Normal"/>
    <w:pPr>
      <w:spacing w:after="200" w:before="60" w:line="300"/>
    </w:pPr>
    <w:rPr>
      <w:rFonts w:ascii="Instrument Sans" w:cs="Instrument Sans" w:eastAsia="Instrument Sans" w:hAnsi="Instrument Sans"/>
      <w:color w:val="8896AE"/>
      <w:sz w:val="18"/>
      <w:szCs w:val="18"/>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ACECBD8B0B8D468D084CBF60CE8167" ma:contentTypeVersion="14" ma:contentTypeDescription="Een nieuw document maken." ma:contentTypeScope="" ma:versionID="8ce47cd9cf6046367b3ba8caaf7102b4">
  <xsd:schema xmlns:xsd="http://www.w3.org/2001/XMLSchema" xmlns:xs="http://www.w3.org/2001/XMLSchema" xmlns:p="http://schemas.microsoft.com/office/2006/metadata/properties" xmlns:ns2="7440ba7b-ef4e-4b41-8f9a-1049f7014dab" xmlns:ns3="0d814b4e-d95e-4bf6-adf5-b2e548fb4ce3" targetNamespace="http://schemas.microsoft.com/office/2006/metadata/properties" ma:root="true" ma:fieldsID="7f765a15bbb77ff8aa052d590aac5439" ns2:_="" ns3:_="">
    <xsd:import namespace="7440ba7b-ef4e-4b41-8f9a-1049f7014dab"/>
    <xsd:import namespace="0d814b4e-d95e-4bf6-adf5-b2e548fb4c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0ba7b-ef4e-4b41-8f9a-1049f7014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a6279eb-3f9a-4edd-aaf0-455849ae4ff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814b4e-d95e-4bf6-adf5-b2e548fb4c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4be77b-8969-469b-9536-e8d12b56a4e5}" ma:internalName="TaxCatchAll" ma:showField="CatchAllData" ma:web="0d814b4e-d95e-4bf6-adf5-b2e548fb4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40ba7b-ef4e-4b41-8f9a-1049f7014dab">
      <Terms xmlns="http://schemas.microsoft.com/office/infopath/2007/PartnerControls"/>
    </lcf76f155ced4ddcb4097134ff3c332f>
    <TaxCatchAll xmlns="0d814b4e-d95e-4bf6-adf5-b2e548fb4ce3" xsi:nil="true"/>
  </documentManagement>
</p:properties>
</file>

<file path=customXml/itemProps1.xml><?xml version="1.0" encoding="utf-8"?>
<ds:datastoreItem xmlns:ds="http://schemas.openxmlformats.org/officeDocument/2006/customXml" ds:itemID="{7A024473-37E0-4C99-B9D5-467F4B87DB1E}"/>
</file>

<file path=customXml/itemProps2.xml><?xml version="1.0" encoding="utf-8"?>
<ds:datastoreItem xmlns:ds="http://schemas.openxmlformats.org/officeDocument/2006/customXml" ds:itemID="{EB0C42C8-3C50-4F44-9D85-32472100B5EA}"/>
</file>

<file path=customXml/itemProps3.xml><?xml version="1.0" encoding="utf-8"?>
<ds:datastoreItem xmlns:ds="http://schemas.openxmlformats.org/officeDocument/2006/customXml" ds:itemID="{15C627E7-A114-4E7C-A8F9-D156CE7EF67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AI-beleid van één pagina</dc:title>
  <dc:creator>Hello Growth B.V.</dc:creator>
  <cp:lastModifiedBy>Un-named</cp:lastModifiedBy>
  <cp:revision>1</cp:revision>
  <dcterms:created xsi:type="dcterms:W3CDTF">2026-10-07T19:47:20Z</dcterms:created>
  <dcterms:modified xsi:type="dcterms:W3CDTF">2026-10-07T19:47:20Z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0x010100A3ACECBD8B0B8D468D084CBF60CE8167</vt:lpwstr>
  </property>
</Properties>
</file>